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</w:t>
      </w:r>
      <w:r>
        <w:rPr>
          <w:sz w:val="28"/>
        </w:rPr>
        <w:t>Лукояновского</w:t>
      </w:r>
      <w:r>
        <w:rPr>
          <w:sz w:val="28"/>
        </w:rPr>
        <w:t xml:space="preserve"> района проведена проверка соблюдения законодательства о закупках товаров, работ, услуг для государственных (муниципальных) нужд.</w:t>
      </w:r>
    </w:p>
    <w:p w14:paraId="0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Согласно ч.2 ст.15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РФ и законы.</w:t>
      </w: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со ст.6 Федерального закона от 05.04.2013 </w:t>
      </w:r>
      <w:r>
        <w:rPr>
          <w:sz w:val="28"/>
        </w:rPr>
        <w:t>№</w:t>
      </w:r>
      <w:r>
        <w:rPr>
          <w:sz w:val="28"/>
        </w:rPr>
        <w:t xml:space="preserve"> 44-ФЗ </w:t>
      </w:r>
      <w:r>
        <w:rPr>
          <w:sz w:val="28"/>
        </w:rPr>
        <w:t xml:space="preserve">                   </w:t>
      </w:r>
      <w:r>
        <w:rPr>
          <w:sz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</w:rPr>
        <w:t xml:space="preserve">                                          </w:t>
      </w:r>
      <w:r>
        <w:rPr>
          <w:sz w:val="28"/>
        </w:rPr>
        <w:t>(далее –</w:t>
      </w:r>
      <w:r>
        <w:rPr>
          <w:sz w:val="28"/>
        </w:rPr>
        <w:t xml:space="preserve"> </w:t>
      </w:r>
      <w:r>
        <w:rPr>
          <w:sz w:val="28"/>
        </w:rPr>
        <w:t xml:space="preserve">Федеральный закон </w:t>
      </w:r>
      <w:r>
        <w:rPr>
          <w:sz w:val="28"/>
        </w:rPr>
        <w:t>№</w:t>
      </w:r>
      <w:r>
        <w:rPr>
          <w:sz w:val="28"/>
        </w:rPr>
        <w:t xml:space="preserve"> 44-ФЗ) контрактная система в сфере закупок основывается на принципах открытости, прозрачности информации </w:t>
      </w:r>
      <w:r>
        <w:rPr>
          <w:sz w:val="28"/>
        </w:rPr>
        <w:t xml:space="preserve">                           </w:t>
      </w:r>
      <w:r>
        <w:rPr>
          <w:sz w:val="28"/>
        </w:rPr>
        <w:t>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</w:t>
      </w:r>
    </w:p>
    <w:p w14:paraId="08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Порядок осуществления закупок товаров, работ и услуг для целей </w:t>
      </w:r>
      <w:r>
        <w:rPr>
          <w:rStyle w:val="Style_3_ch"/>
          <w:sz w:val="28"/>
        </w:rPr>
        <w:t>ГОЗ регулируется Федеральным законом от 05.04.2013 № 44-ФЗ </w:t>
      </w:r>
      <w:r>
        <w:rPr>
          <w:rStyle w:val="Style_3_ch"/>
          <w:sz w:val="28"/>
        </w:rPr>
        <w:t>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Федеральным законом </w:t>
      </w:r>
      <w:r>
        <w:rPr>
          <w:rStyle w:val="Style_3_ch"/>
          <w:sz w:val="28"/>
        </w:rPr>
        <w:t>от 29.12.2012 № 275-ФЗ «О государственном оборонном заказе» (далее – Федеральный закон № 275-ФЗ). </w:t>
      </w:r>
    </w:p>
    <w:p w14:paraId="09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Согласно п. 1 ч. 13 ст. 34 Федерального закона о контрактной системе </w:t>
      </w:r>
      <w:r>
        <w:rPr>
          <w:rStyle w:val="Style_3_ch"/>
          <w:sz w:val="28"/>
        </w:rPr>
        <w:t>в контракт включаются обязательные условия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14:paraId="0A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 xml:space="preserve">В соответствии со статьей 12 Федерального закона  </w:t>
      </w:r>
      <w:r>
        <w:rPr>
          <w:rStyle w:val="Style_3_ch"/>
          <w:sz w:val="28"/>
        </w:rPr>
        <w:t xml:space="preserve">№ 275-ФЗ Правительство Российской Федерации в целях обеспечения  </w:t>
      </w:r>
      <w:r>
        <w:rPr>
          <w:rStyle w:val="Style_3_ch"/>
          <w:sz w:val="28"/>
        </w:rPr>
        <w:t>и стимулирования выполнения государственного оборонного заказа </w:t>
      </w:r>
      <w:r>
        <w:rPr>
          <w:rStyle w:val="Style_3_ch"/>
          <w:sz w:val="28"/>
        </w:rPr>
        <w:t>в соответствии с законодательством Российской Федерации вправе определять примерные условия государственных контрактов, контрактов, типовые условия контрактов.</w:t>
      </w:r>
    </w:p>
    <w:p w14:paraId="0B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Типовые условия контрактов, заключаемых в целях выполнения ГОЗ, утверждены постановлением Правительства Российской Федерации </w:t>
      </w:r>
      <w:r>
        <w:rPr>
          <w:rStyle w:val="Style_3_ch"/>
          <w:sz w:val="28"/>
        </w:rPr>
        <w:t>от 19.09.2022 № 1658 (далее – Типовые условия).</w:t>
      </w:r>
    </w:p>
    <w:p w14:paraId="0C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Согласно подпунктам «б», «м», «н» пункта 2 Типовых условий </w:t>
      </w:r>
      <w:r>
        <w:rPr>
          <w:rStyle w:val="Style_3_ch"/>
          <w:sz w:val="28"/>
        </w:rPr>
        <w:t>в контракт на поставку продукции по государственному оборонному заказу включаются реквизиты соответствующего государственного контракта, включая идентификатор государственного контракта, перечень прав </w:t>
      </w:r>
      <w:r>
        <w:rPr>
          <w:rStyle w:val="Style_3_ch"/>
          <w:sz w:val="28"/>
        </w:rPr>
        <w:t>и обязанностей исполнителя и заказчика, включая обязанность </w:t>
      </w:r>
      <w:r>
        <w:rPr>
          <w:rStyle w:val="Style_3_ch"/>
          <w:sz w:val="28"/>
        </w:rPr>
        <w:t>по обеспечению раздельного учета затрат, связанных с исполнением контракта, в соответствии с законодательством Российской Федерации </w:t>
      </w:r>
      <w:r>
        <w:rPr>
          <w:rStyle w:val="Style_3_ch"/>
          <w:sz w:val="28"/>
        </w:rPr>
        <w:t>о государственном оборонном заказе, обязанность по обеспечению устранения за свой счет недостатков и дефектов, выявленных при приемке продукции и в течение гарантийного срока, если гарантийные обязательства установлены контрактом на поставку этой продукции, обязанность </w:t>
      </w:r>
      <w:r>
        <w:rPr>
          <w:rStyle w:val="Style_3_ch"/>
          <w:sz w:val="28"/>
        </w:rPr>
        <w:t>по соответствию в течение всего срока действия контракта требованиям, установленным в соответствии с законодательством Российской Федерации </w:t>
      </w:r>
      <w:r>
        <w:rPr>
          <w:rStyle w:val="Style_3_ch"/>
          <w:sz w:val="28"/>
        </w:rPr>
        <w:t>в отношении лиц, осуществляющих деятельность в установленных сферах, </w:t>
      </w:r>
      <w:r>
        <w:rPr>
          <w:rStyle w:val="Style_3_ch"/>
          <w:sz w:val="28"/>
        </w:rPr>
        <w:t>и другие условия.</w:t>
      </w:r>
    </w:p>
    <w:p w14:paraId="0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Установлено, что у </w:t>
      </w:r>
      <w:r>
        <w:rPr>
          <w:sz w:val="28"/>
        </w:rPr>
        <w:t>ФКУ ИК</w:t>
      </w:r>
      <w:r>
        <w:rPr>
          <w:sz w:val="28"/>
        </w:rPr>
        <w:t xml:space="preserve"> № 20</w:t>
      </w:r>
      <w:r>
        <w:rPr>
          <w:sz w:val="28"/>
        </w:rPr>
        <w:t xml:space="preserve"> ГУФСИН России по Нижегородской области в контрактах </w:t>
      </w:r>
      <w:r>
        <w:rPr>
          <w:rStyle w:val="Style_3_ch"/>
          <w:sz w:val="28"/>
        </w:rPr>
        <w:t>№</w:t>
      </w:r>
      <w:r>
        <w:rPr>
          <w:rStyle w:val="Style_3_ch"/>
          <w:sz w:val="28"/>
        </w:rPr>
        <w:t>100175588124100281, №</w:t>
      </w:r>
      <w:r>
        <w:rPr>
          <w:rStyle w:val="Style_3_ch"/>
          <w:sz w:val="28"/>
        </w:rPr>
        <w:t>100175588124100284, №39, № 40,</w:t>
      </w:r>
      <w:r>
        <w:rPr>
          <w:sz w:val="28"/>
        </w:rPr>
        <w:t xml:space="preserve"> заключенных в рамках ГОЗ </w:t>
      </w:r>
      <w:r>
        <w:rPr>
          <w:rStyle w:val="Style_3_ch"/>
          <w:sz w:val="28"/>
        </w:rPr>
        <w:t>содержат неполный перечень условий</w:t>
      </w:r>
      <w:r>
        <w:rPr>
          <w:rStyle w:val="Style_3_ch"/>
          <w:sz w:val="28"/>
        </w:rPr>
        <w:t>.</w:t>
      </w:r>
      <w:r>
        <w:rPr>
          <w:rStyle w:val="Style_3_ch"/>
          <w:sz w:val="28"/>
        </w:rPr>
        <w:t> </w:t>
      </w:r>
    </w:p>
    <w:p w14:paraId="0E000000">
      <w:pPr>
        <w:widowControl w:val="0"/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Причинами и условиями, способствующими совершению указанных нарушений, явилось ненадлежащее исполнение должностных обязанностей </w:t>
      </w:r>
      <w:r>
        <w:rPr>
          <w:sz w:val="28"/>
        </w:rPr>
        <w:t>работника</w:t>
      </w:r>
      <w:r>
        <w:rPr>
          <w:sz w:val="28"/>
        </w:rPr>
        <w:t>, а также отсутствие надлежащего контроля за работой подчиненных сотрудников со стороны руководства. Указанные нарушения требуют принятия конкретных мер, направленных на их устранение и недопущение впредь.</w:t>
      </w:r>
    </w:p>
    <w:p w14:paraId="0F000000">
      <w:pPr>
        <w:widowControl w:val="0"/>
        <w:ind w:firstLine="709" w:left="0"/>
        <w:jc w:val="both"/>
        <w:outlineLvl w:val="0"/>
        <w:rPr>
          <w:sz w:val="28"/>
        </w:rPr>
      </w:pPr>
      <w:r>
        <w:rPr>
          <w:sz w:val="28"/>
        </w:rPr>
        <w:t>Кроме того, с</w:t>
      </w:r>
      <w:r>
        <w:rPr>
          <w:sz w:val="28"/>
        </w:rPr>
        <w:t>огласно</w:t>
      </w:r>
      <w:r>
        <w:rPr>
          <w:sz w:val="28"/>
        </w:rPr>
        <w:t xml:space="preserve"> п</w:t>
      </w:r>
      <w:r>
        <w:rPr>
          <w:sz w:val="28"/>
        </w:rPr>
        <w:t>.</w:t>
      </w:r>
      <w:r>
        <w:rPr>
          <w:sz w:val="28"/>
        </w:rPr>
        <w:t xml:space="preserve"> 1 ч</w:t>
      </w:r>
      <w:r>
        <w:rPr>
          <w:sz w:val="28"/>
        </w:rPr>
        <w:t xml:space="preserve">. </w:t>
      </w:r>
      <w:r>
        <w:rPr>
          <w:sz w:val="28"/>
        </w:rPr>
        <w:t>13 ст</w:t>
      </w:r>
      <w:r>
        <w:rPr>
          <w:sz w:val="28"/>
        </w:rPr>
        <w:t>.</w:t>
      </w:r>
      <w:r>
        <w:rPr>
          <w:sz w:val="28"/>
        </w:rPr>
        <w:t xml:space="preserve"> 34 </w:t>
      </w:r>
      <w:r>
        <w:rPr>
          <w:sz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</w:t>
      </w:r>
      <w:r>
        <w:rPr>
          <w:sz w:val="28"/>
        </w:rPr>
        <w:t>Федеральн</w:t>
      </w:r>
      <w:r>
        <w:rPr>
          <w:sz w:val="28"/>
        </w:rPr>
        <w:t>ый</w:t>
      </w:r>
      <w:r>
        <w:rPr>
          <w:sz w:val="28"/>
        </w:rPr>
        <w:t xml:space="preserve"> закон</w:t>
      </w:r>
      <w:r>
        <w:rPr>
          <w:sz w:val="28"/>
        </w:rPr>
        <w:t xml:space="preserve"> </w:t>
      </w:r>
      <w:r>
        <w:rPr>
          <w:sz w:val="28"/>
        </w:rPr>
        <w:t>о контрактной системе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в контракт включаются обязательные условия </w:t>
      </w:r>
      <w:r>
        <w:rPr>
          <w:sz w:val="28"/>
        </w:rPr>
        <w:br/>
      </w:r>
      <w:r>
        <w:rPr>
          <w:sz w:val="28"/>
        </w:rPr>
        <w:t xml:space="preserve">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</w:t>
      </w:r>
      <w:r>
        <w:rPr>
          <w:sz w:val="28"/>
        </w:rPr>
        <w:br/>
      </w:r>
      <w:r>
        <w:rPr>
          <w:sz w:val="28"/>
        </w:rPr>
        <w:t>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14:paraId="1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Частью 7 статьи 94 </w:t>
      </w:r>
      <w:r>
        <w:rPr>
          <w:sz w:val="28"/>
        </w:rPr>
        <w:t>Федеральн</w:t>
      </w:r>
      <w:r>
        <w:rPr>
          <w:sz w:val="28"/>
        </w:rPr>
        <w:t>ого</w:t>
      </w:r>
      <w:r>
        <w:rPr>
          <w:sz w:val="28"/>
        </w:rPr>
        <w:t xml:space="preserve"> закон</w:t>
      </w:r>
      <w:r>
        <w:rPr>
          <w:sz w:val="28"/>
        </w:rPr>
        <w:t xml:space="preserve">а </w:t>
      </w:r>
      <w:r>
        <w:rPr>
          <w:sz w:val="28"/>
        </w:rPr>
        <w:t xml:space="preserve">о контрактной системе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</w:t>
      </w:r>
      <w:r>
        <w:rPr>
          <w:sz w:val="28"/>
        </w:rPr>
        <w:t xml:space="preserve">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</w:t>
      </w:r>
      <w:r>
        <w:rPr>
          <w:sz w:val="28"/>
        </w:rPr>
        <w:br/>
      </w:r>
      <w:r>
        <w:rPr>
          <w:sz w:val="28"/>
        </w:rPr>
        <w:t xml:space="preserve">в письменной форме мотивированный отказ от подписания такого документа. </w:t>
      </w:r>
    </w:p>
    <w:p w14:paraId="1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>
        <w:rPr>
          <w:sz w:val="28"/>
        </w:rPr>
        <w:t xml:space="preserve">частью 1 статьи 94 </w:t>
      </w:r>
      <w:r>
        <w:rPr>
          <w:sz w:val="28"/>
        </w:rPr>
        <w:t>Федеральн</w:t>
      </w:r>
      <w:r>
        <w:rPr>
          <w:sz w:val="28"/>
        </w:rPr>
        <w:t>ого</w:t>
      </w:r>
      <w:r>
        <w:rPr>
          <w:sz w:val="28"/>
        </w:rPr>
        <w:t xml:space="preserve"> закон</w:t>
      </w:r>
      <w:r>
        <w:rPr>
          <w:sz w:val="28"/>
        </w:rPr>
        <w:t xml:space="preserve">а </w:t>
      </w:r>
      <w:r>
        <w:rPr>
          <w:sz w:val="28"/>
        </w:rPr>
        <w:t xml:space="preserve">о контрактной системе исполнение контракта включает в себя, </w:t>
      </w:r>
      <w:r>
        <w:rPr>
          <w:sz w:val="28"/>
        </w:rPr>
        <w:t xml:space="preserve">помимо прочего, </w:t>
      </w:r>
      <w:r>
        <w:rPr>
          <w:sz w:val="28"/>
        </w:rPr>
        <w:t>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</w:t>
      </w:r>
      <w:r>
        <w:rPr>
          <w:sz w:val="28"/>
        </w:rPr>
        <w:t>.</w:t>
      </w:r>
    </w:p>
    <w:p w14:paraId="12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Между ФКУ ИК-20 ГУФСИН России и ООО «Матрица» заключен государственный контракт от 09.12.2024 № 100175588124100281, предметом которого является передача в собственность продуктов питания в рамках гособоронзаказа.</w:t>
      </w:r>
    </w:p>
    <w:p w14:paraId="13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sz w:val="28"/>
        </w:rPr>
        <w:t>Согласно п. 2.4 контракта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 xml:space="preserve">100175588124100281 оплата поставленного товара производится заказчиком, в </w:t>
      </w:r>
      <w:r>
        <w:rPr>
          <w:color w:val="000000"/>
          <w:sz w:val="28"/>
        </w:rPr>
        <w:t xml:space="preserve">течение 10 рабочих дней, со дня подписания сторонами товарной накладной и акта сдачи-приемки товара. </w:t>
      </w:r>
    </w:p>
    <w:p w14:paraId="14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rFonts w:ascii="Times New Roman" w:hAnsi="Times New Roman"/>
          <w:sz w:val="28"/>
        </w:rPr>
        <w:t>Являясь заказчиком, 17.07.2025 ФКУ ИК-20 ГУФСИН России по</w:t>
      </w:r>
      <w:r>
        <w:rPr>
          <w:rFonts w:ascii="Times New Roman" w:hAnsi="Times New Roman"/>
          <w:sz w:val="28"/>
        </w:rPr>
        <w:t xml:space="preserve"> Нижегородской области приняла выполненную работу (товарная накладная от 17.07.2025, акт сдачи -приемки товара № 11 от 17.07.2025).</w:t>
      </w:r>
    </w:p>
    <w:p w14:paraId="15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rFonts w:ascii="Times New Roman" w:hAnsi="Times New Roman"/>
          <w:sz w:val="28"/>
        </w:rPr>
        <w:t>Оплата выполненных работ была произведена в размере 2540 рублей, однако, в нарушение части 13.1 статьи 34, пункта 2 части 1 статьи 94 Федерального закона от 05.04.2013 № 44-ФЗ, пункта 2.4 контракта</w:t>
      </w:r>
      <w:r>
        <w:rPr>
          <w:color w:val="000000"/>
          <w:sz w:val="28"/>
        </w:rPr>
        <w:t>, однако с нарушенным сроком (08.08.2025).</w:t>
      </w:r>
    </w:p>
    <w:p w14:paraId="16000000">
      <w:pPr>
        <w:widowControl w:val="0"/>
        <w:ind w:firstLine="709" w:left="0"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Данные нарушения стали возможными ввиду ненадлежащего исполнения своих </w:t>
      </w:r>
      <w:r>
        <w:rPr>
          <w:rFonts w:ascii="Times New Roman" w:hAnsi="Times New Roman"/>
          <w:sz w:val="28"/>
        </w:rPr>
        <w:t>должностных обязанностей должностными лицами ФКУ ИК-20 ГУФСИН России по Нижегородской области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проверки, внесено представление, которое рассмотрено и удовлетворено.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701" w:right="680" w:top="116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 Знак Знак Знак Знак"/>
    <w:basedOn w:val="Style_3"/>
    <w:link w:val="Style_5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5_ch" w:type="character">
    <w:name w:val=" Знак Знак Знак Знак"/>
    <w:basedOn w:val="Style_3_ch"/>
    <w:link w:val="Style_5"/>
    <w:rPr>
      <w:rFonts w:ascii="Verdana" w:hAnsi="Verdana"/>
      <w:sz w:val="20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ConsNormal"/>
    <w:link w:val="Style_12_ch"/>
    <w:pPr>
      <w:widowControl w:val="0"/>
      <w:ind w:firstLine="720" w:left="0" w:right="19772"/>
    </w:pPr>
    <w:rPr>
      <w:rFonts w:ascii="Arial" w:hAnsi="Arial"/>
    </w:rPr>
  </w:style>
  <w:style w:styleId="Style_12_ch" w:type="character">
    <w:name w:val="ConsNormal"/>
    <w:link w:val="Style_12"/>
    <w:rPr>
      <w:rFonts w:ascii="Arial" w:hAnsi="Arial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3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Plain Text"/>
    <w:basedOn w:val="Style_3"/>
    <w:link w:val="Style_15_ch"/>
    <w:rPr>
      <w:rFonts w:ascii="Courier New" w:hAnsi="Courier New"/>
      <w:sz w:val="20"/>
    </w:rPr>
  </w:style>
  <w:style w:styleId="Style_15_ch" w:type="character">
    <w:name w:val="Plain Text"/>
    <w:basedOn w:val="Style_3_ch"/>
    <w:link w:val="Style_15"/>
    <w:rPr>
      <w:rFonts w:ascii="Courier New" w:hAnsi="Courier New"/>
      <w:sz w:val="20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footer"/>
    <w:basedOn w:val="Style_3"/>
    <w:link w:val="Style_19_ch"/>
    <w:pPr>
      <w:widowControl w:val="0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3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3"/>
    <w:link w:val="Style_21_ch"/>
    <w:rPr>
      <w:sz w:val="20"/>
    </w:rPr>
  </w:style>
  <w:style w:styleId="Style_21_ch" w:type="character">
    <w:name w:val="Footnote"/>
    <w:basedOn w:val="Style_3_ch"/>
    <w:link w:val="Style_21"/>
    <w:rPr>
      <w:sz w:val="20"/>
    </w:rPr>
  </w:style>
  <w:style w:styleId="Style_22" w:type="paragraph">
    <w:name w:val="toc 1"/>
    <w:next w:val="Style_3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Nonformat"/>
    <w:link w:val="Style_26_ch"/>
    <w:pPr>
      <w:widowControl w:val="0"/>
      <w:ind w:right="19772"/>
    </w:pPr>
    <w:rPr>
      <w:rFonts w:ascii="Courier New" w:hAnsi="Courier New"/>
    </w:rPr>
  </w:style>
  <w:style w:styleId="Style_26_ch" w:type="character">
    <w:name w:val="ConsNonformat"/>
    <w:link w:val="Style_26"/>
    <w:rPr>
      <w:rFonts w:ascii="Courier New" w:hAnsi="Courier New"/>
    </w:rPr>
  </w:style>
  <w:style w:styleId="Style_27" w:type="paragraph">
    <w:name w:val="toc 5"/>
    <w:next w:val="Style_3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rmal (Web)"/>
    <w:basedOn w:val="Style_3"/>
    <w:link w:val="Style_28_ch"/>
    <w:pPr>
      <w:widowControl w:val="0"/>
      <w:spacing w:afterAutospacing="on" w:beforeAutospacing="on"/>
      <w:ind/>
    </w:pPr>
  </w:style>
  <w:style w:styleId="Style_28_ch" w:type="character">
    <w:name w:val="Normal (Web)"/>
    <w:basedOn w:val="Style_3_ch"/>
    <w:link w:val="Style_28"/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30" w:type="paragraph">
    <w:name w:val="Subtitle"/>
    <w:next w:val="Style_3"/>
    <w:link w:val="Style_3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3" w:type="paragraph">
    <w:name w:val="heading 2"/>
    <w:next w:val="Style_3"/>
    <w:link w:val="Style_3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Body Text"/>
    <w:basedOn w:val="Style_3"/>
    <w:link w:val="Style_34_ch"/>
    <w:pPr>
      <w:widowControl w:val="0"/>
      <w:ind/>
      <w:jc w:val="both"/>
    </w:pPr>
  </w:style>
  <w:style w:styleId="Style_34_ch" w:type="character">
    <w:name w:val="Body Text"/>
    <w:basedOn w:val="Style_3_ch"/>
    <w:link w:val="Style_34"/>
  </w:style>
  <w:style w:styleId="Style_35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2025-12-22T06:52:35Z</dcterms:created>
  <dcterms:modified xsi:type="dcterms:W3CDTF">2025-12-22T06:52:35Z</dcterms:modified>
</cp:coreProperties>
</file>